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C0C35" w14:textId="7086119F" w:rsidR="00B335EB" w:rsidRPr="00B335EB" w:rsidRDefault="00B335EB" w:rsidP="00B335EB">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98-e </w:t>
      </w:r>
      <w:r w:rsidRPr="00B335EB">
        <w:rPr>
          <w:rFonts w:ascii="Arial" w:hAnsi="Arial" w:cs="Arial"/>
          <w:bCs/>
          <w:sz w:val="24"/>
          <w:szCs w:val="24"/>
        </w:rPr>
        <w:tab/>
      </w:r>
      <w:r w:rsidRPr="00B335EB">
        <w:rPr>
          <w:rFonts w:ascii="Arial" w:hAnsi="Arial" w:cs="Arial"/>
          <w:bCs/>
          <w:sz w:val="24"/>
          <w:szCs w:val="24"/>
        </w:rPr>
        <w:tab/>
      </w:r>
      <w:r w:rsidRPr="00B335EB">
        <w:rPr>
          <w:rFonts w:ascii="Arial" w:hAnsi="Arial" w:cs="Arial"/>
          <w:bCs/>
          <w:sz w:val="24"/>
          <w:szCs w:val="24"/>
        </w:rPr>
        <w:tab/>
      </w:r>
      <w:r w:rsidR="00F77168" w:rsidRPr="00F77168">
        <w:rPr>
          <w:rFonts w:ascii="Arial" w:hAnsi="Arial" w:cs="Arial"/>
          <w:bCs/>
          <w:sz w:val="24"/>
          <w:szCs w:val="24"/>
        </w:rPr>
        <w:t>R4-2100569</w:t>
      </w:r>
    </w:p>
    <w:p w14:paraId="426519AF" w14:textId="17ED1B68" w:rsidR="001B17CD" w:rsidRPr="00D43AD7" w:rsidRDefault="00B335EB" w:rsidP="00B335EB">
      <w:pPr>
        <w:pStyle w:val="Header"/>
        <w:tabs>
          <w:tab w:val="clear" w:pos="8306"/>
          <w:tab w:val="right" w:pos="9864"/>
        </w:tabs>
        <w:spacing w:after="120"/>
        <w:rPr>
          <w:rFonts w:ascii="Arial" w:hAnsi="Arial" w:cs="Arial"/>
          <w:sz w:val="24"/>
        </w:rPr>
      </w:pPr>
      <w:r w:rsidRPr="00B335EB">
        <w:rPr>
          <w:rFonts w:ascii="Arial" w:hAnsi="Arial" w:cs="Arial"/>
          <w:bCs/>
          <w:sz w:val="24"/>
          <w:szCs w:val="24"/>
        </w:rPr>
        <w:t>Electronic Meeting, Jan. 25-Feb. 5,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26E544E"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AD758A">
        <w:rPr>
          <w:rFonts w:ascii="Arial" w:hAnsi="Arial" w:cs="Arial"/>
        </w:rPr>
        <w:t>, Ericsson</w:t>
      </w:r>
    </w:p>
    <w:p w14:paraId="540E6165" w14:textId="3A50AE10"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640F5" w:rsidRPr="00C640F5">
        <w:rPr>
          <w:rFonts w:ascii="Arial" w:hAnsi="Arial" w:cs="Arial"/>
        </w:rPr>
        <w:t>REFSENS and EIS spherical coverage</w:t>
      </w:r>
      <w:r w:rsidR="00F555E2" w:rsidRPr="00F555E2">
        <w:rPr>
          <w:rFonts w:ascii="Arial" w:hAnsi="Arial" w:cs="Arial"/>
        </w:rPr>
        <w:t xml:space="preserve"> for PC3 for n262</w:t>
      </w:r>
    </w:p>
    <w:p w14:paraId="46BB346F" w14:textId="1335B9D1"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563C26" w:rsidRPr="00C62B48">
        <w:rPr>
          <w:rFonts w:ascii="Arial" w:hAnsi="Arial" w:cs="Arial"/>
        </w:rPr>
        <w:t>9.25.1.</w:t>
      </w:r>
      <w:r w:rsidR="00C640F5">
        <w:rPr>
          <w:rFonts w:ascii="Arial" w:hAnsi="Arial" w:cs="Arial"/>
        </w:rPr>
        <w:t>3</w:t>
      </w:r>
    </w:p>
    <w:p w14:paraId="12B3F2E2" w14:textId="5FF366E3"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E2D03F1" w14:textId="6C70F07A" w:rsidR="00D926A7" w:rsidRDefault="00D926A7" w:rsidP="00692091">
      <w:pPr>
        <w:jc w:val="both"/>
      </w:pPr>
      <w:r>
        <w:t>The work item introducing the new FR2</w:t>
      </w:r>
      <w:r w:rsidR="00C36DF2">
        <w:t xml:space="preserve"> 47GHz</w:t>
      </w:r>
      <w:r>
        <w:t xml:space="preserve"> band</w:t>
      </w:r>
      <w:r w:rsidR="00C36DF2">
        <w:t xml:space="preserve"> </w:t>
      </w:r>
      <w:r w:rsidR="00D71CED">
        <w:t>has been</w:t>
      </w:r>
      <w:r w:rsidR="00236D1B">
        <w:t xml:space="preserve"> discussed </w:t>
      </w:r>
      <w:r w:rsidR="00D71CED">
        <w:t>for a couple of</w:t>
      </w:r>
      <w:r>
        <w:t xml:space="preserve"> </w:t>
      </w:r>
      <w:r w:rsidR="00D71CED">
        <w:t xml:space="preserve">RAN4 meetings </w:t>
      </w:r>
      <w:r w:rsidR="00164028">
        <w:fldChar w:fldCharType="begin"/>
      </w:r>
      <w:r w:rsidR="00164028">
        <w:instrText xml:space="preserve"> REF _Ref61428616 \r \h </w:instrText>
      </w:r>
      <w:r w:rsidR="00164028">
        <w:fldChar w:fldCharType="separate"/>
      </w:r>
      <w:r w:rsidR="00F77168">
        <w:t>[3]</w:t>
      </w:r>
      <w:r w:rsidR="00164028">
        <w:fldChar w:fldCharType="end"/>
      </w:r>
      <w:r w:rsidR="00164028">
        <w:t>,</w:t>
      </w:r>
      <w:r w:rsidR="00D71CED">
        <w:t xml:space="preserve"> </w:t>
      </w:r>
      <w:r w:rsidR="000E3701">
        <w:fldChar w:fldCharType="begin"/>
      </w:r>
      <w:r w:rsidR="000E3701">
        <w:instrText xml:space="preserve"> REF _Ref61352725 \r \h </w:instrText>
      </w:r>
      <w:r w:rsidR="000E3701">
        <w:fldChar w:fldCharType="separate"/>
      </w:r>
      <w:r w:rsidR="00F77168">
        <w:t>[4]</w:t>
      </w:r>
      <w:r w:rsidR="000E3701">
        <w:fldChar w:fldCharType="end"/>
      </w:r>
      <w:r w:rsidR="000E3701">
        <w:t>. In RAN4 #97-e a “</w:t>
      </w:r>
      <w:r w:rsidR="000E3701" w:rsidRPr="000E3701">
        <w:t>WF on UE RF requirement of n262</w:t>
      </w:r>
      <w:r w:rsidR="0005675E">
        <w:t xml:space="preserve">” </w:t>
      </w:r>
      <w:r>
        <w:t>was a</w:t>
      </w:r>
      <w:r w:rsidR="00236D1B">
        <w:t>pproved</w:t>
      </w:r>
      <w:r w:rsidR="0026689B">
        <w:t xml:space="preserve"> </w:t>
      </w:r>
      <w:r w:rsidR="0026689B">
        <w:fldChar w:fldCharType="begin"/>
      </w:r>
      <w:r w:rsidR="0026689B">
        <w:instrText xml:space="preserve"> REF _Ref61356293 \r \h </w:instrText>
      </w:r>
      <w:r w:rsidR="0026689B">
        <w:fldChar w:fldCharType="separate"/>
      </w:r>
      <w:r w:rsidR="00F77168">
        <w:t>[5]</w:t>
      </w:r>
      <w:r w:rsidR="0026689B">
        <w:fldChar w:fldCharType="end"/>
      </w:r>
      <w:r w:rsidR="00236D1B">
        <w:t xml:space="preserve">. Another </w:t>
      </w:r>
      <w:r w:rsidR="0026689B">
        <w:t>“</w:t>
      </w:r>
      <w:r w:rsidR="0026689B" w:rsidRPr="0026689B">
        <w:t>WF on multi-band relaxation of n262</w:t>
      </w:r>
      <w:r w:rsidR="0026689B">
        <w:t xml:space="preserve">” </w:t>
      </w:r>
      <w:r w:rsidR="00236D1B">
        <w:t>was also approved</w:t>
      </w:r>
      <w:r w:rsidR="0026689B">
        <w:t xml:space="preserve"> </w:t>
      </w:r>
      <w:r w:rsidR="0026689B">
        <w:fldChar w:fldCharType="begin"/>
      </w:r>
      <w:r w:rsidR="0026689B">
        <w:instrText xml:space="preserve"> REF _Ref61356327 \r \h </w:instrText>
      </w:r>
      <w:r w:rsidR="0026689B">
        <w:fldChar w:fldCharType="separate"/>
      </w:r>
      <w:r w:rsidR="00F77168">
        <w:t>[6]</w:t>
      </w:r>
      <w:r w:rsidR="0026689B">
        <w:fldChar w:fldCharType="end"/>
      </w:r>
      <w:r w:rsidR="0026689B">
        <w:t>.</w:t>
      </w:r>
    </w:p>
    <w:p w14:paraId="41156D3F" w14:textId="6E0CF34F" w:rsidR="00164028" w:rsidRDefault="00164028" w:rsidP="00692091">
      <w:pPr>
        <w:jc w:val="both"/>
      </w:pPr>
    </w:p>
    <w:p w14:paraId="01DF0D59" w14:textId="2ED9CC23" w:rsidR="00164028" w:rsidRDefault="00164028" w:rsidP="00692091">
      <w:pPr>
        <w:jc w:val="both"/>
      </w:pPr>
      <w:r>
        <w:t xml:space="preserve">Remaining items listed in the </w:t>
      </w:r>
      <w:r w:rsidRPr="00164028">
        <w:t>Status Report to TSG</w:t>
      </w:r>
      <w:r>
        <w:t xml:space="preserve"> </w:t>
      </w:r>
      <w:r>
        <w:fldChar w:fldCharType="begin"/>
      </w:r>
      <w:r>
        <w:instrText xml:space="preserve"> REF _Ref61428567 \r \h </w:instrText>
      </w:r>
      <w:r>
        <w:fldChar w:fldCharType="separate"/>
      </w:r>
      <w:r w:rsidR="00F77168">
        <w:t>[2]</w:t>
      </w:r>
      <w:r>
        <w:fldChar w:fldCharType="end"/>
      </w:r>
      <w:r>
        <w:t xml:space="preserve"> are:</w:t>
      </w:r>
    </w:p>
    <w:p w14:paraId="71B9EFF7" w14:textId="77777777" w:rsidR="00164028" w:rsidRDefault="00164028" w:rsidP="00164028">
      <w:pPr>
        <w:pStyle w:val="ListParagraph"/>
        <w:widowControl w:val="0"/>
        <w:numPr>
          <w:ilvl w:val="0"/>
          <w:numId w:val="36"/>
        </w:numPr>
        <w:overflowPunct/>
        <w:autoSpaceDE/>
        <w:autoSpaceDN/>
        <w:adjustRightInd/>
        <w:spacing w:after="0" w:line="256" w:lineRule="auto"/>
        <w:contextualSpacing w:val="0"/>
        <w:jc w:val="both"/>
        <w:textAlignment w:val="auto"/>
      </w:pPr>
      <w:r>
        <w:t>UE RF core requirement</w:t>
      </w:r>
    </w:p>
    <w:p w14:paraId="0537CD45"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Minimum Peak EIRP</w:t>
      </w:r>
    </w:p>
    <w:p w14:paraId="48CA9154"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REFSENS</w:t>
      </w:r>
    </w:p>
    <w:p w14:paraId="1E362560"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EIRP spherical coverage</w:t>
      </w:r>
    </w:p>
    <w:p w14:paraId="1E448FE5"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EIS spherical coverage</w:t>
      </w:r>
    </w:p>
    <w:p w14:paraId="47510AA0"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MPR</w:t>
      </w:r>
    </w:p>
    <w:p w14:paraId="0B116C14"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Beam correspondence</w:t>
      </w:r>
    </w:p>
    <w:p w14:paraId="366BE779"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Min output power</w:t>
      </w:r>
    </w:p>
    <w:p w14:paraId="649BED3D"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Multiband relaxations</w:t>
      </w:r>
    </w:p>
    <w:p w14:paraId="4CE926A9" w14:textId="77777777" w:rsidR="00164028" w:rsidRDefault="00164028" w:rsidP="00164028">
      <w:pPr>
        <w:pStyle w:val="ListParagraph"/>
        <w:widowControl w:val="0"/>
        <w:numPr>
          <w:ilvl w:val="0"/>
          <w:numId w:val="36"/>
        </w:numPr>
        <w:overflowPunct/>
        <w:autoSpaceDE/>
        <w:autoSpaceDN/>
        <w:adjustRightInd/>
        <w:spacing w:after="0" w:line="256" w:lineRule="auto"/>
        <w:contextualSpacing w:val="0"/>
        <w:jc w:val="both"/>
        <w:textAlignment w:val="auto"/>
      </w:pPr>
      <w:r>
        <w:t>BS RF conformance</w:t>
      </w:r>
    </w:p>
    <w:p w14:paraId="2D5217E5" w14:textId="7C509E27" w:rsidR="00164028" w:rsidRPr="00164028" w:rsidRDefault="00164028" w:rsidP="00692091">
      <w:pPr>
        <w:pStyle w:val="ListParagraph"/>
        <w:widowControl w:val="0"/>
        <w:numPr>
          <w:ilvl w:val="1"/>
          <w:numId w:val="36"/>
        </w:numPr>
        <w:overflowPunct/>
        <w:autoSpaceDE/>
        <w:autoSpaceDN/>
        <w:adjustRightInd/>
        <w:spacing w:after="0" w:line="256" w:lineRule="auto"/>
        <w:contextualSpacing w:val="0"/>
        <w:jc w:val="both"/>
        <w:textAlignment w:val="auto"/>
        <w:rPr>
          <w:rFonts w:ascii="Century" w:hAnsi="Century"/>
          <w:sz w:val="21"/>
          <w:szCs w:val="22"/>
        </w:rPr>
      </w:pPr>
      <w:r>
        <w:t>MU/TT</w:t>
      </w:r>
    </w:p>
    <w:p w14:paraId="30B0DAC9" w14:textId="77777777" w:rsidR="00A15212" w:rsidRDefault="00A15212" w:rsidP="00692091">
      <w:pPr>
        <w:jc w:val="both"/>
      </w:pPr>
    </w:p>
    <w:p w14:paraId="0BC61C2D" w14:textId="59FBF437" w:rsidR="00A15212" w:rsidRDefault="00A15212" w:rsidP="00692091">
      <w:pPr>
        <w:jc w:val="both"/>
      </w:pPr>
      <w:r>
        <w:t xml:space="preserve">In this contribution we </w:t>
      </w:r>
      <w:r w:rsidR="00414CE9">
        <w:t xml:space="preserve">provide our inputs to </w:t>
      </w:r>
      <w:r w:rsidR="00F555E2" w:rsidRPr="00F555E2">
        <w:t>REFSENS and EIS spherical coverage for PC3 for n262</w:t>
      </w:r>
      <w:r w:rsidR="00F555E2">
        <w:t xml:space="preserve">. </w:t>
      </w:r>
      <w:r w:rsidR="00164028">
        <w:t>Minimum P</w:t>
      </w:r>
      <w:r w:rsidR="0026689B" w:rsidRPr="0026689B">
        <w:t>eak EIRP</w:t>
      </w:r>
      <w:r w:rsidR="0060756A">
        <w:t xml:space="preserve"> and</w:t>
      </w:r>
      <w:r w:rsidR="0026689B" w:rsidRPr="0026689B">
        <w:t xml:space="preserve"> EIRP spherical coverage</w:t>
      </w:r>
      <w:r w:rsidR="00164028">
        <w:t xml:space="preserve"> </w:t>
      </w:r>
      <w:r w:rsidR="0060756A">
        <w:t xml:space="preserve">is discussed in </w:t>
      </w:r>
      <w:r w:rsidR="0060756A">
        <w:fldChar w:fldCharType="begin"/>
      </w:r>
      <w:r w:rsidR="0060756A">
        <w:instrText xml:space="preserve"> REF _Ref61432276 \r \h </w:instrText>
      </w:r>
      <w:r w:rsidR="0060756A">
        <w:fldChar w:fldCharType="separate"/>
      </w:r>
      <w:r w:rsidR="00F77168">
        <w:t>[7]</w:t>
      </w:r>
      <w:r w:rsidR="0060756A">
        <w:fldChar w:fldCharType="end"/>
      </w:r>
      <w:r w:rsidR="0060756A">
        <w:t xml:space="preserve"> </w:t>
      </w:r>
      <w:r w:rsidR="00164028">
        <w:t xml:space="preserve">and </w:t>
      </w:r>
      <w:r w:rsidR="00164028" w:rsidRPr="00164028">
        <w:t>Multiband relaxations</w:t>
      </w:r>
      <w:r w:rsidR="0026689B" w:rsidRPr="0026689B">
        <w:t xml:space="preserve"> </w:t>
      </w:r>
      <w:r w:rsidR="0060756A">
        <w:t xml:space="preserve">is discussed in </w:t>
      </w:r>
      <w:r w:rsidR="0060756A">
        <w:fldChar w:fldCharType="begin"/>
      </w:r>
      <w:r w:rsidR="0060756A">
        <w:instrText xml:space="preserve"> REF _Ref61445024 \r \h </w:instrText>
      </w:r>
      <w:r w:rsidR="0060756A">
        <w:fldChar w:fldCharType="separate"/>
      </w:r>
      <w:r w:rsidR="00F77168">
        <w:t>[8]</w:t>
      </w:r>
      <w:r w:rsidR="0060756A">
        <w:fldChar w:fldCharType="end"/>
      </w:r>
      <w:r w:rsidR="00F555E2">
        <w:t>.</w:t>
      </w:r>
    </w:p>
    <w:p w14:paraId="53FFECCB" w14:textId="7F508D50" w:rsidR="00944F6F" w:rsidRPr="00A374CD" w:rsidRDefault="004A1E1C"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Receiver</w:t>
      </w:r>
      <w:r w:rsidR="0075425A">
        <w:rPr>
          <w:rFonts w:ascii="Arial" w:hAnsi="Arial"/>
          <w:sz w:val="36"/>
          <w:lang w:eastAsia="zh-CN"/>
        </w:rPr>
        <w:t xml:space="preserve">, </w:t>
      </w:r>
      <w:r w:rsidR="002632BB">
        <w:rPr>
          <w:rFonts w:ascii="Arial" w:hAnsi="Arial"/>
          <w:sz w:val="36"/>
          <w:lang w:eastAsia="zh-CN"/>
        </w:rPr>
        <w:t>P</w:t>
      </w:r>
      <w:r w:rsidR="0075425A">
        <w:rPr>
          <w:rFonts w:ascii="Arial" w:hAnsi="Arial"/>
          <w:sz w:val="36"/>
          <w:lang w:eastAsia="zh-CN"/>
        </w:rPr>
        <w:t>C</w:t>
      </w:r>
      <w:r w:rsidR="002632BB">
        <w:rPr>
          <w:rFonts w:ascii="Arial" w:hAnsi="Arial"/>
          <w:sz w:val="36"/>
          <w:lang w:eastAsia="zh-CN"/>
        </w:rPr>
        <w:t xml:space="preserve"> 3</w:t>
      </w:r>
    </w:p>
    <w:p w14:paraId="5A0DAB93" w14:textId="6AEF28DF" w:rsidR="002632BB" w:rsidRDefault="004A1E1C" w:rsidP="002632BB">
      <w:pPr>
        <w:pStyle w:val="Heading2"/>
        <w:rPr>
          <w:lang w:eastAsia="zh-CN"/>
        </w:rPr>
      </w:pPr>
      <w:r>
        <w:rPr>
          <w:lang w:eastAsia="zh-CN"/>
        </w:rPr>
        <w:t>Reference sensitivity</w:t>
      </w:r>
    </w:p>
    <w:p w14:paraId="18D858E5" w14:textId="5F1130D4" w:rsidR="00A374CD" w:rsidRDefault="00F94EC8" w:rsidP="00A374CD">
      <w:pPr>
        <w:pStyle w:val="BodyText"/>
      </w:pPr>
      <w:r>
        <w:rPr>
          <w:lang w:eastAsia="zh-CN"/>
        </w:rPr>
        <w:t xml:space="preserve">In </w:t>
      </w:r>
      <w:r>
        <w:t xml:space="preserve">RAN4 #97-e 6 companies provided input to </w:t>
      </w:r>
      <w:r w:rsidR="004A1E1C" w:rsidRPr="004A1E1C">
        <w:t xml:space="preserve">REFSENS for 100 MHz </w:t>
      </w:r>
      <w:r w:rsidR="004A1E1C">
        <w:t xml:space="preserve">channel </w:t>
      </w:r>
      <w:r w:rsidR="004A1E1C" w:rsidRPr="004A1E1C">
        <w:t>BW</w:t>
      </w:r>
      <w:r w:rsidR="004A1E1C">
        <w:t xml:space="preserve"> </w:t>
      </w:r>
      <w:r>
        <w:t xml:space="preserve">in the range </w:t>
      </w:r>
      <w:r w:rsidR="004A1E1C">
        <w:t>-81.5</w:t>
      </w:r>
      <w:r>
        <w:t xml:space="preserve"> to </w:t>
      </w:r>
      <w:r w:rsidR="004A1E1C">
        <w:t>-76.0</w:t>
      </w:r>
      <w:r>
        <w:t xml:space="preserve"> dBm. In the discussion this was narrowed down to two values </w:t>
      </w:r>
      <w:r w:rsidR="009A5F33">
        <w:t>where</w:t>
      </w:r>
      <w:r>
        <w:t xml:space="preserve"> </w:t>
      </w:r>
      <w:r>
        <w:rPr>
          <w:lang w:eastAsia="zh-CN"/>
        </w:rPr>
        <w:t>t</w:t>
      </w:r>
      <w:r w:rsidR="00A374CD">
        <w:rPr>
          <w:lang w:eastAsia="zh-CN"/>
        </w:rPr>
        <w:t xml:space="preserve">he </w:t>
      </w:r>
      <w:r w:rsidR="00A374CD" w:rsidRPr="000E3701">
        <w:t xml:space="preserve">WF </w:t>
      </w:r>
      <w:r w:rsidR="00A374CD">
        <w:fldChar w:fldCharType="begin"/>
      </w:r>
      <w:r w:rsidR="00A374CD">
        <w:instrText xml:space="preserve"> REF _Ref61356293 \r \h </w:instrText>
      </w:r>
      <w:r w:rsidR="00A374CD">
        <w:fldChar w:fldCharType="separate"/>
      </w:r>
      <w:r w:rsidR="00F77168">
        <w:t>[5]</w:t>
      </w:r>
      <w:r w:rsidR="00A374CD">
        <w:fldChar w:fldCharType="end"/>
      </w:r>
      <w:r>
        <w:t xml:space="preserve"> says: “C</w:t>
      </w:r>
      <w:r w:rsidRPr="00F94EC8">
        <w:t xml:space="preserve">ompanies are encouraged to provide a view if </w:t>
      </w:r>
      <w:r w:rsidR="004A1E1C" w:rsidRPr="004A1E1C">
        <w:t>-79.3 dBm or -79.9 dBm can be specified or not.</w:t>
      </w:r>
      <w:r>
        <w:t xml:space="preserve">”.  Our detailed analysis is found in </w:t>
      </w:r>
      <w:r w:rsidR="001B2815">
        <w:fldChar w:fldCharType="begin"/>
      </w:r>
      <w:r w:rsidR="001B2815">
        <w:instrText xml:space="preserve"> REF _Ref61524889 \r \h </w:instrText>
      </w:r>
      <w:r w:rsidR="001B2815">
        <w:fldChar w:fldCharType="separate"/>
      </w:r>
      <w:r w:rsidR="00F77168">
        <w:t>[9]</w:t>
      </w:r>
      <w:r w:rsidR="001B2815">
        <w:fldChar w:fldCharType="end"/>
      </w:r>
      <w:r w:rsidR="001B2815">
        <w:t xml:space="preserve"> </w:t>
      </w:r>
      <w:r w:rsidR="001D7A24">
        <w:t xml:space="preserve">where we conclude </w:t>
      </w:r>
      <w:r w:rsidR="004A1E1C" w:rsidRPr="004A1E1C">
        <w:t>REFSENS for PC3</w:t>
      </w:r>
      <w:r w:rsidR="004A1E1C">
        <w:t>,</w:t>
      </w:r>
      <w:r w:rsidR="004A1E1C" w:rsidRPr="004A1E1C">
        <w:t xml:space="preserve"> n262 </w:t>
      </w:r>
      <w:r w:rsidR="004A1E1C">
        <w:t>to be</w:t>
      </w:r>
      <w:r w:rsidR="004A1E1C" w:rsidRPr="004A1E1C">
        <w:t xml:space="preserve"> -81.5 dBm</w:t>
      </w:r>
      <w:r w:rsidR="009A5F33">
        <w:t xml:space="preserve">. From our horizon no new facts has been revealed but we can accept </w:t>
      </w:r>
      <w:r w:rsidR="004A1E1C" w:rsidRPr="004A1E1C">
        <w:t>-79.3 dBm or -79.9 dBm</w:t>
      </w:r>
      <w:r w:rsidR="00FB25BC">
        <w:t xml:space="preserve">. To be consistent with the reasoning regarding peak EIRP </w:t>
      </w:r>
      <w:r w:rsidR="00FB25BC">
        <w:fldChar w:fldCharType="begin"/>
      </w:r>
      <w:r w:rsidR="00FB25BC">
        <w:instrText xml:space="preserve"> REF _Ref61432276 \r \h </w:instrText>
      </w:r>
      <w:r w:rsidR="00FB25BC">
        <w:fldChar w:fldCharType="separate"/>
      </w:r>
      <w:r w:rsidR="00F77168">
        <w:t>[7]</w:t>
      </w:r>
      <w:r w:rsidR="00FB25BC">
        <w:fldChar w:fldCharType="end"/>
      </w:r>
      <w:r w:rsidR="00FB25BC">
        <w:t xml:space="preserve"> </w:t>
      </w:r>
      <w:r w:rsidR="004A1E1C" w:rsidRPr="004A1E1C">
        <w:t>-79.</w:t>
      </w:r>
      <w:r w:rsidR="00FB25BC">
        <w:t>3</w:t>
      </w:r>
      <w:r w:rsidR="009A5F33">
        <w:t xml:space="preserve"> dBm</w:t>
      </w:r>
      <w:r w:rsidR="00FB25BC">
        <w:t xml:space="preserve"> should be chosen.</w:t>
      </w:r>
      <w:r w:rsidR="009A5F33">
        <w:t xml:space="preserve"> </w:t>
      </w:r>
    </w:p>
    <w:p w14:paraId="176E7973" w14:textId="5972E397" w:rsidR="00B517B9" w:rsidRDefault="00B517B9" w:rsidP="00FB25BC">
      <w:pPr>
        <w:pStyle w:val="Caption"/>
        <w:spacing w:after="120"/>
      </w:pPr>
      <w:bookmarkStart w:id="0" w:name="_Ref61364633"/>
      <w:r>
        <w:t xml:space="preserve">Proposal </w:t>
      </w:r>
      <w:r>
        <w:fldChar w:fldCharType="begin"/>
      </w:r>
      <w:r>
        <w:instrText xml:space="preserve"> SEQ Proposal \* ARABIC </w:instrText>
      </w:r>
      <w:r>
        <w:fldChar w:fldCharType="separate"/>
      </w:r>
      <w:r w:rsidR="00F77168">
        <w:rPr>
          <w:noProof/>
        </w:rPr>
        <w:t>1</w:t>
      </w:r>
      <w:r>
        <w:fldChar w:fldCharType="end"/>
      </w:r>
      <w:r>
        <w:tab/>
        <w:t xml:space="preserve">In light of discussion in RAN4 #97-e we propose </w:t>
      </w:r>
      <w:r w:rsidR="004A1E1C">
        <w:t>REFSENS</w:t>
      </w:r>
      <w:r w:rsidRPr="00097669">
        <w:t xml:space="preserve"> </w:t>
      </w:r>
      <w:r>
        <w:t>to be</w:t>
      </w:r>
      <w:r w:rsidRPr="00097669">
        <w:t xml:space="preserve"> </w:t>
      </w:r>
      <w:r w:rsidR="004A1E1C" w:rsidRPr="004A1E1C">
        <w:t>-79.</w:t>
      </w:r>
      <w:r w:rsidR="00FB25BC">
        <w:t>3</w:t>
      </w:r>
      <w:r w:rsidR="004A1E1C" w:rsidRPr="004A1E1C">
        <w:t xml:space="preserve"> dBm </w:t>
      </w:r>
      <w:r w:rsidRPr="00097669">
        <w:t>for PC3: n2</w:t>
      </w:r>
      <w:r>
        <w:t>62</w:t>
      </w:r>
      <w:bookmarkEnd w:id="0"/>
    </w:p>
    <w:p w14:paraId="2E5EFADB" w14:textId="77777777" w:rsidR="00FB25BC" w:rsidRPr="00216C8F" w:rsidRDefault="00FB25BC" w:rsidP="00FB25BC">
      <w:pPr>
        <w:pStyle w:val="Heading2"/>
        <w:rPr>
          <w:lang w:eastAsia="zh-CN"/>
        </w:rPr>
      </w:pPr>
      <w:bookmarkStart w:id="1" w:name="_Hlk61523158"/>
      <w:r>
        <w:rPr>
          <w:lang w:eastAsia="zh-CN"/>
        </w:rPr>
        <w:t>Spherical coverage</w:t>
      </w:r>
      <w:bookmarkEnd w:id="1"/>
      <w:r>
        <w:rPr>
          <w:lang w:eastAsia="zh-CN"/>
        </w:rPr>
        <w:t xml:space="preserve"> PC3</w:t>
      </w:r>
    </w:p>
    <w:p w14:paraId="0CCA6187" w14:textId="081CEECF" w:rsidR="00FB25BC" w:rsidRPr="008B524B" w:rsidRDefault="00FB25BC" w:rsidP="00FB25BC">
      <w:pPr>
        <w:pStyle w:val="BodyText"/>
        <w:jc w:val="both"/>
        <w:rPr>
          <w:lang w:val="en-GB"/>
        </w:rPr>
      </w:pPr>
      <w:r>
        <w:t>The spherical coverage of a</w:t>
      </w:r>
      <w:r>
        <w:rPr>
          <w:lang w:val="en-GB"/>
        </w:rPr>
        <w:t>n</w:t>
      </w:r>
      <w:r>
        <w:t xml:space="preserve"> antenna in this frequency range depends on many factors, including, but not limited to, the surface current distribution, the material of the back cover and its separation distance to the antennas, other components around the antenna panel etc. During the discussion of spherical coverage for the previously defined FR2 frequency bands, it was observed that impact from all the factors </w:t>
      </w:r>
      <w:r>
        <w:rPr>
          <w:lang w:eastAsia="zh-CN"/>
        </w:rPr>
        <w:t>does</w:t>
      </w:r>
      <w:r>
        <w:rPr>
          <w:lang w:val="en-GB"/>
        </w:rPr>
        <w:t xml:space="preserve"> </w:t>
      </w:r>
      <w:r>
        <w:t xml:space="preserve">not </w:t>
      </w:r>
      <w:r w:rsidRPr="008B2459">
        <w:t>monotonous</w:t>
      </w:r>
      <w:r>
        <w:t>ly</w:t>
      </w:r>
      <w:r>
        <w:rPr>
          <w:lang w:val="en-GB"/>
        </w:rPr>
        <w:t xml:space="preserve"> change with frequency but rather changes periodically (see e.g. </w:t>
      </w:r>
      <w:r>
        <w:rPr>
          <w:lang w:val="en-GB"/>
        </w:rPr>
        <w:fldChar w:fldCharType="begin"/>
      </w:r>
      <w:r>
        <w:rPr>
          <w:lang w:val="en-GB"/>
        </w:rPr>
        <w:instrText xml:space="preserve"> REF _Ref20153914 \r \h </w:instrText>
      </w:r>
      <w:r>
        <w:rPr>
          <w:lang w:val="en-GB"/>
        </w:rPr>
      </w:r>
      <w:r>
        <w:rPr>
          <w:lang w:val="en-GB"/>
        </w:rPr>
        <w:fldChar w:fldCharType="separate"/>
      </w:r>
      <w:r w:rsidR="00F77168">
        <w:rPr>
          <w:lang w:val="en-GB"/>
        </w:rPr>
        <w:t>[10]</w:t>
      </w:r>
      <w:r>
        <w:rPr>
          <w:lang w:val="en-GB"/>
        </w:rPr>
        <w:fldChar w:fldCharType="end"/>
      </w:r>
      <w:r>
        <w:rPr>
          <w:lang w:val="en-GB"/>
        </w:rPr>
        <w:t>). Therefore, it cannot be concluded that the n262 band must be worse than e.g., n259 band in terms of spherical coverage. The total impact (peak and spherical coverage) of the back cover and components around the antenna panel, on the other hand, will increase with frequency.</w:t>
      </w:r>
    </w:p>
    <w:p w14:paraId="4B0C33D6" w14:textId="2AF8D29A" w:rsidR="00FB25BC" w:rsidRDefault="00FB25BC" w:rsidP="00FB25BC">
      <w:pPr>
        <w:pStyle w:val="BodyText"/>
        <w:ind w:left="1418" w:hanging="1418"/>
        <w:rPr>
          <w:b/>
        </w:rPr>
      </w:pPr>
      <w:bookmarkStart w:id="2" w:name="_Ref21108741"/>
      <w:r w:rsidRPr="007A17F0">
        <w:rPr>
          <w:b/>
        </w:rPr>
        <w:t xml:space="preserve">Observation </w:t>
      </w:r>
      <w:r w:rsidRPr="007A17F0">
        <w:rPr>
          <w:b/>
        </w:rPr>
        <w:fldChar w:fldCharType="begin"/>
      </w:r>
      <w:r w:rsidRPr="007A17F0">
        <w:rPr>
          <w:b/>
        </w:rPr>
        <w:instrText xml:space="preserve"> SEQ Observation \* ARABIC </w:instrText>
      </w:r>
      <w:r w:rsidRPr="007A17F0">
        <w:rPr>
          <w:b/>
        </w:rPr>
        <w:fldChar w:fldCharType="separate"/>
      </w:r>
      <w:r w:rsidR="00F77168">
        <w:rPr>
          <w:b/>
          <w:noProof/>
        </w:rPr>
        <w:t>1</w:t>
      </w:r>
      <w:r w:rsidRPr="007A17F0">
        <w:rPr>
          <w:b/>
        </w:rPr>
        <w:fldChar w:fldCharType="end"/>
      </w:r>
      <w:r w:rsidRPr="007A17F0">
        <w:rPr>
          <w:b/>
        </w:rPr>
        <w:tab/>
        <w:t>The spherical coverage performance (delta between peak and 50% EIRP) depends on many factors</w:t>
      </w:r>
      <w:r>
        <w:rPr>
          <w:b/>
        </w:rPr>
        <w:t>,</w:t>
      </w:r>
      <w:r w:rsidRPr="007A17F0">
        <w:rPr>
          <w:b/>
        </w:rPr>
        <w:t xml:space="preserve"> and </w:t>
      </w:r>
      <w:r w:rsidRPr="007A17F0">
        <w:rPr>
          <w:b/>
          <w:lang w:val="en-GB"/>
        </w:rPr>
        <w:t>it cannot be concluded that the n262 band must be worse than</w:t>
      </w:r>
      <w:r>
        <w:rPr>
          <w:b/>
          <w:lang w:val="en-GB"/>
        </w:rPr>
        <w:t>,</w:t>
      </w:r>
      <w:r w:rsidRPr="007A17F0">
        <w:rPr>
          <w:b/>
          <w:lang w:val="en-GB"/>
        </w:rPr>
        <w:t xml:space="preserve"> e.g.</w:t>
      </w:r>
      <w:r>
        <w:rPr>
          <w:b/>
          <w:lang w:val="en-GB"/>
        </w:rPr>
        <w:t>,</w:t>
      </w:r>
      <w:r w:rsidRPr="007A17F0">
        <w:rPr>
          <w:b/>
          <w:lang w:val="en-GB"/>
        </w:rPr>
        <w:t xml:space="preserve"> n259 in terms of spherical coverage</w:t>
      </w:r>
      <w:r w:rsidRPr="007A17F0">
        <w:rPr>
          <w:b/>
        </w:rPr>
        <w:t>.</w:t>
      </w:r>
      <w:bookmarkEnd w:id="2"/>
    </w:p>
    <w:p w14:paraId="2E2D70A2" w14:textId="77777777" w:rsidR="00FB25BC" w:rsidRDefault="00FB25BC" w:rsidP="00FB25BC">
      <w:pPr>
        <w:pStyle w:val="BodyText"/>
      </w:pPr>
      <w:r>
        <w:lastRenderedPageBreak/>
        <w:t xml:space="preserve">To understand the spherical coverage performance at 47 GHz, a full phone model simulation has been carried out, where the phone model is enclosed with metal bezel and back/front glass. Two antenna panels with 4*1 patch array are used in the simulation which face towards the front and rear side of the phone, respectively. </w:t>
      </w:r>
    </w:p>
    <w:p w14:paraId="2046D32A" w14:textId="77777777" w:rsidR="00FB25BC" w:rsidRDefault="00FB25BC" w:rsidP="00FB25BC">
      <w:pPr>
        <w:pStyle w:val="BodyText"/>
        <w:jc w:val="center"/>
        <w:rPr>
          <w:noProof/>
          <w:lang w:eastAsia="ja-JP"/>
        </w:rPr>
      </w:pPr>
      <w:r w:rsidRPr="008D1902">
        <w:rPr>
          <w:noProof/>
          <w:lang w:eastAsia="ja-JP"/>
        </w:rPr>
        <w:drawing>
          <wp:anchor distT="0" distB="0" distL="114300" distR="114300" simplePos="0" relativeHeight="251659264" behindDoc="0" locked="0" layoutInCell="1" allowOverlap="1" wp14:anchorId="31EEFEA1" wp14:editId="38AB3563">
            <wp:simplePos x="0" y="0"/>
            <wp:positionH relativeFrom="column">
              <wp:posOffset>1451610</wp:posOffset>
            </wp:positionH>
            <wp:positionV relativeFrom="paragraph">
              <wp:posOffset>303530</wp:posOffset>
            </wp:positionV>
            <wp:extent cx="1333500" cy="5207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19586" t="11873" r="58880" b="69758"/>
                    <a:stretch/>
                  </pic:blipFill>
                  <pic:spPr bwMode="auto">
                    <a:xfrm>
                      <a:off x="0" y="0"/>
                      <a:ext cx="1333500" cy="520700"/>
                    </a:xfrm>
                    <a:prstGeom prst="rect">
                      <a:avLst/>
                    </a:prstGeom>
                    <a:noFill/>
                    <a:ln>
                      <a:noFill/>
                    </a:ln>
                    <a:extLst>
                      <a:ext uri="{53640926-AAD7-44D8-BBD7-CCE9431645EC}">
                        <a14:shadowObscured xmlns:a14="http://schemas.microsoft.com/office/drawing/2010/main"/>
                      </a:ext>
                    </a:extLst>
                  </pic:spPr>
                </pic:pic>
              </a:graphicData>
            </a:graphic>
          </wp:anchor>
        </w:drawing>
      </w:r>
      <w:r w:rsidRPr="00951F19">
        <w:rPr>
          <w:noProof/>
          <w:lang w:eastAsia="ja-JP"/>
        </w:rPr>
        <w:drawing>
          <wp:inline distT="0" distB="0" distL="0" distR="0" wp14:anchorId="1B2BFB12" wp14:editId="014BAECB">
            <wp:extent cx="6192520" cy="28346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2520" cy="2834640"/>
                    </a:xfrm>
                    <a:prstGeom prst="rect">
                      <a:avLst/>
                    </a:prstGeom>
                    <a:noFill/>
                    <a:ln>
                      <a:noFill/>
                    </a:ln>
                  </pic:spPr>
                </pic:pic>
              </a:graphicData>
            </a:graphic>
          </wp:inline>
        </w:drawing>
      </w:r>
    </w:p>
    <w:p w14:paraId="581FC3B4" w14:textId="3E5EC225" w:rsidR="00FB25BC" w:rsidRPr="00D34EBF" w:rsidRDefault="00FB25BC" w:rsidP="00FB25BC">
      <w:pPr>
        <w:pStyle w:val="BodyText"/>
        <w:jc w:val="center"/>
        <w:rPr>
          <w:b/>
        </w:rPr>
      </w:pPr>
      <w:bookmarkStart w:id="3" w:name="_Ref61597950"/>
      <w:r w:rsidRPr="00D34EBF">
        <w:rPr>
          <w:b/>
        </w:rPr>
        <w:t xml:space="preserve">Figure </w:t>
      </w:r>
      <w:r w:rsidRPr="00D34EBF">
        <w:rPr>
          <w:b/>
          <w:noProof/>
        </w:rPr>
        <w:fldChar w:fldCharType="begin"/>
      </w:r>
      <w:r w:rsidRPr="00D34EBF">
        <w:rPr>
          <w:b/>
          <w:noProof/>
        </w:rPr>
        <w:instrText xml:space="preserve"> SEQ Figure \* ARABIC </w:instrText>
      </w:r>
      <w:r w:rsidRPr="00D34EBF">
        <w:rPr>
          <w:b/>
          <w:noProof/>
        </w:rPr>
        <w:fldChar w:fldCharType="separate"/>
      </w:r>
      <w:r w:rsidR="00F77168">
        <w:rPr>
          <w:b/>
          <w:noProof/>
        </w:rPr>
        <w:t>1</w:t>
      </w:r>
      <w:r w:rsidRPr="00D34EBF">
        <w:rPr>
          <w:b/>
          <w:noProof/>
        </w:rPr>
        <w:fldChar w:fldCharType="end"/>
      </w:r>
      <w:bookmarkEnd w:id="3"/>
      <w:r w:rsidRPr="00D34EBF">
        <w:rPr>
          <w:b/>
        </w:rPr>
        <w:t xml:space="preserve">. Simulated gain </w:t>
      </w:r>
      <w:r>
        <w:rPr>
          <w:b/>
        </w:rPr>
        <w:t>47 GHz (n262) and 41 GHz (n259)</w:t>
      </w:r>
      <w:r w:rsidRPr="00D34EBF">
        <w:rPr>
          <w:b/>
        </w:rPr>
        <w:t xml:space="preserve"> GHz.</w:t>
      </w:r>
    </w:p>
    <w:p w14:paraId="55A3BB3D" w14:textId="77777777" w:rsidR="00FB25BC" w:rsidRDefault="00FB25BC" w:rsidP="00FB25BC">
      <w:pPr>
        <w:pStyle w:val="BodyText"/>
      </w:pPr>
    </w:p>
    <w:p w14:paraId="0552EDC1" w14:textId="00685DC0" w:rsidR="00FB25BC" w:rsidRDefault="00FB25BC" w:rsidP="00FB25BC">
      <w:pPr>
        <w:pStyle w:val="BodyText"/>
      </w:pPr>
      <w:r>
        <w:t xml:space="preserve">The simulated CDF EIRP spherical performance is shown in </w:t>
      </w:r>
      <w:r w:rsidR="00F77168">
        <w:fldChar w:fldCharType="begin"/>
      </w:r>
      <w:r w:rsidR="00F77168">
        <w:instrText xml:space="preserve"> REF _Ref61597950 \h </w:instrText>
      </w:r>
      <w:r w:rsidR="00F77168">
        <w:fldChar w:fldCharType="separate"/>
      </w:r>
      <w:r w:rsidR="00F77168" w:rsidRPr="00D34EBF">
        <w:rPr>
          <w:b/>
        </w:rPr>
        <w:t xml:space="preserve">Figure </w:t>
      </w:r>
      <w:r w:rsidR="00F77168">
        <w:rPr>
          <w:b/>
          <w:noProof/>
        </w:rPr>
        <w:t>1</w:t>
      </w:r>
      <w:r w:rsidR="00F77168">
        <w:fldChar w:fldCharType="end"/>
      </w:r>
      <w:r w:rsidR="00F77168">
        <w:t xml:space="preserve"> </w:t>
      </w:r>
      <w:r>
        <w:t xml:space="preserve">for 47 GHz, where the results at 41 GHz (n262) has also been provided as reference value. Comparing the two frequencies a slightly degradation of spherical coverage in higher frequency is observed. However, the specific value is highly implementation dependent, and is in the range between 0 – 1 </w:t>
      </w:r>
      <w:proofErr w:type="spellStart"/>
      <w:r>
        <w:t>dB.</w:t>
      </w:r>
      <w:proofErr w:type="spellEnd"/>
      <w:r>
        <w:t xml:space="preserve">  Considering the already tight link budget of the cellular network in higher frequency, it is reasonable to further confine the allowed performance degradation at higher frequency, and thus we think the spherical coverage requirement for n262 should be at most 0.5 dB worse than n259.  </w:t>
      </w:r>
    </w:p>
    <w:p w14:paraId="39356438" w14:textId="42AFACDA" w:rsidR="00991849" w:rsidRPr="00FB25BC" w:rsidRDefault="00FB25BC" w:rsidP="00FB25BC">
      <w:pPr>
        <w:pStyle w:val="Caption"/>
        <w:ind w:left="1276" w:hanging="1276"/>
      </w:pPr>
      <w:bookmarkStart w:id="4" w:name="_Ref61523016"/>
      <w:r>
        <w:t xml:space="preserve">Proposal </w:t>
      </w:r>
      <w:r>
        <w:fldChar w:fldCharType="begin"/>
      </w:r>
      <w:r>
        <w:instrText xml:space="preserve"> SEQ Proposal \* ARABIC </w:instrText>
      </w:r>
      <w:r>
        <w:fldChar w:fldCharType="separate"/>
      </w:r>
      <w:r w:rsidR="00F77168">
        <w:rPr>
          <w:noProof/>
        </w:rPr>
        <w:t>2</w:t>
      </w:r>
      <w:r>
        <w:fldChar w:fldCharType="end"/>
      </w:r>
      <w:r>
        <w:tab/>
        <w:t>T</w:t>
      </w:r>
      <w:r w:rsidRPr="00712F3D">
        <w:t xml:space="preserve">he spherical coverage requirement for n262 should be no more than 0.5 dB worse than </w:t>
      </w:r>
      <w:r w:rsidRPr="00B56782">
        <w:t xml:space="preserve">requirement for </w:t>
      </w:r>
      <w:r w:rsidRPr="00712F3D">
        <w:t>n259.</w:t>
      </w:r>
      <w:bookmarkEnd w:id="4"/>
      <w:r w:rsidRPr="00712F3D">
        <w:t xml:space="preserve">  </w:t>
      </w: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6B9500FE" w:rsidR="00146D4C" w:rsidRDefault="00E06DE7" w:rsidP="009215DA">
      <w:pPr>
        <w:pStyle w:val="BodyText"/>
      </w:pPr>
      <w:r w:rsidRPr="00D43AD7">
        <w:t xml:space="preserve">In this contribution we have discussed </w:t>
      </w:r>
      <w:r w:rsidR="0009315C">
        <w:t xml:space="preserve">the </w:t>
      </w:r>
      <w:r w:rsidR="00FB4294">
        <w:t>REFSENS and spherical coverage</w:t>
      </w:r>
      <w:r w:rsidR="008C5A29">
        <w:t xml:space="preserve"> </w:t>
      </w:r>
      <w:r w:rsidR="0088688C">
        <w:t xml:space="preserve">requirement for </w:t>
      </w:r>
      <w:r w:rsidR="00C42FFA">
        <w:t>PC3: n2</w:t>
      </w:r>
      <w:r w:rsidR="003D636D">
        <w:t>62</w:t>
      </w:r>
      <w:r w:rsidR="0088688C">
        <w:t>. The following observation</w:t>
      </w:r>
      <w:r w:rsidR="00102834">
        <w:t xml:space="preserve">s </w:t>
      </w:r>
      <w:r w:rsidR="0088688C">
        <w:t xml:space="preserve">and proposal </w:t>
      </w:r>
      <w:r w:rsidR="00102834">
        <w:t>are made</w:t>
      </w:r>
      <w:r w:rsidR="0088688C">
        <w:t>:</w:t>
      </w:r>
    </w:p>
    <w:p w14:paraId="03D77D06" w14:textId="57EAB46F" w:rsidR="0088688C" w:rsidRDefault="0088688C" w:rsidP="00102834">
      <w:pPr>
        <w:pStyle w:val="BodyText"/>
        <w:ind w:left="1418" w:hanging="1418"/>
        <w:rPr>
          <w:b/>
          <w:bCs/>
        </w:rPr>
      </w:pPr>
      <w:r w:rsidRPr="00102834">
        <w:rPr>
          <w:b/>
          <w:bCs/>
        </w:rPr>
        <w:t xml:space="preserve"> </w:t>
      </w:r>
    </w:p>
    <w:p w14:paraId="35016CD6" w14:textId="19E932F1" w:rsidR="00F00117" w:rsidRDefault="00F00117" w:rsidP="00102834">
      <w:pPr>
        <w:pStyle w:val="BodyText"/>
        <w:ind w:left="1418" w:hanging="1418"/>
        <w:rPr>
          <w:b/>
          <w:bCs/>
        </w:rPr>
      </w:pPr>
      <w:r>
        <w:rPr>
          <w:b/>
          <w:bCs/>
        </w:rPr>
        <w:fldChar w:fldCharType="begin"/>
      </w:r>
      <w:r>
        <w:rPr>
          <w:b/>
          <w:bCs/>
        </w:rPr>
        <w:instrText xml:space="preserve"> REF _Ref21108741 \h </w:instrText>
      </w:r>
      <w:r>
        <w:rPr>
          <w:b/>
          <w:bCs/>
        </w:rPr>
      </w:r>
      <w:r>
        <w:rPr>
          <w:b/>
          <w:bCs/>
        </w:rPr>
        <w:fldChar w:fldCharType="separate"/>
      </w:r>
      <w:r w:rsidR="00F77168" w:rsidRPr="007A17F0">
        <w:rPr>
          <w:b/>
        </w:rPr>
        <w:t xml:space="preserve">Observation </w:t>
      </w:r>
      <w:r w:rsidR="00F77168">
        <w:rPr>
          <w:b/>
          <w:noProof/>
        </w:rPr>
        <w:t>1</w:t>
      </w:r>
      <w:r w:rsidR="00F77168" w:rsidRPr="007A17F0">
        <w:rPr>
          <w:b/>
        </w:rPr>
        <w:tab/>
        <w:t>The spherical coverage performance (delta between peak and 50% EIRP) depends on many factors</w:t>
      </w:r>
      <w:r w:rsidR="00F77168">
        <w:rPr>
          <w:b/>
        </w:rPr>
        <w:t>,</w:t>
      </w:r>
      <w:r w:rsidR="00F77168" w:rsidRPr="007A17F0">
        <w:rPr>
          <w:b/>
        </w:rPr>
        <w:t xml:space="preserve"> and </w:t>
      </w:r>
      <w:r w:rsidR="00F77168" w:rsidRPr="007A17F0">
        <w:rPr>
          <w:b/>
          <w:lang w:val="en-GB"/>
        </w:rPr>
        <w:t>it cannot be concluded that the n262 band must be worse than</w:t>
      </w:r>
      <w:r w:rsidR="00F77168">
        <w:rPr>
          <w:b/>
          <w:lang w:val="en-GB"/>
        </w:rPr>
        <w:t>,</w:t>
      </w:r>
      <w:r w:rsidR="00F77168" w:rsidRPr="007A17F0">
        <w:rPr>
          <w:b/>
          <w:lang w:val="en-GB"/>
        </w:rPr>
        <w:t xml:space="preserve"> e.g.</w:t>
      </w:r>
      <w:r w:rsidR="00F77168">
        <w:rPr>
          <w:b/>
          <w:lang w:val="en-GB"/>
        </w:rPr>
        <w:t>,</w:t>
      </w:r>
      <w:r w:rsidR="00F77168" w:rsidRPr="007A17F0">
        <w:rPr>
          <w:b/>
          <w:lang w:val="en-GB"/>
        </w:rPr>
        <w:t xml:space="preserve"> n259 in terms of spherical coverage</w:t>
      </w:r>
      <w:r w:rsidR="00F77168" w:rsidRPr="007A17F0">
        <w:rPr>
          <w:b/>
        </w:rPr>
        <w:t>.</w:t>
      </w:r>
      <w:r>
        <w:rPr>
          <w:b/>
          <w:bCs/>
        </w:rPr>
        <w:fldChar w:fldCharType="end"/>
      </w:r>
    </w:p>
    <w:p w14:paraId="6F178008" w14:textId="26B1BAFF" w:rsidR="008B524B" w:rsidRDefault="008B524B" w:rsidP="008B524B">
      <w:pPr>
        <w:pStyle w:val="BodyText"/>
        <w:ind w:left="1418" w:hanging="1418"/>
        <w:rPr>
          <w:b/>
        </w:rPr>
      </w:pPr>
      <w:r w:rsidRPr="008B524B">
        <w:rPr>
          <w:b/>
        </w:rPr>
        <w:fldChar w:fldCharType="begin"/>
      </w:r>
      <w:r w:rsidRPr="008B524B">
        <w:rPr>
          <w:b/>
        </w:rPr>
        <w:instrText xml:space="preserve"> REF _Ref61364633 \h </w:instrText>
      </w:r>
      <w:r>
        <w:rPr>
          <w:b/>
        </w:rPr>
        <w:instrText xml:space="preserve"> \* MERGEFORMAT </w:instrText>
      </w:r>
      <w:r w:rsidRPr="008B524B">
        <w:rPr>
          <w:b/>
        </w:rPr>
      </w:r>
      <w:r w:rsidRPr="008B524B">
        <w:rPr>
          <w:b/>
        </w:rPr>
        <w:fldChar w:fldCharType="separate"/>
      </w:r>
      <w:r w:rsidR="00F77168" w:rsidRPr="00F77168">
        <w:rPr>
          <w:b/>
        </w:rPr>
        <w:t>Proposal 1</w:t>
      </w:r>
      <w:r w:rsidR="00F77168" w:rsidRPr="00F77168">
        <w:rPr>
          <w:b/>
        </w:rPr>
        <w:tab/>
        <w:t>In light of discussion in RAN4 #97-e we propose REFSENS to be -79.3 dBm for PC3: n262</w:t>
      </w:r>
      <w:r w:rsidRPr="008B524B">
        <w:rPr>
          <w:b/>
        </w:rPr>
        <w:fldChar w:fldCharType="end"/>
      </w:r>
    </w:p>
    <w:p w14:paraId="327361E7" w14:textId="148554A1" w:rsidR="00FB25BC" w:rsidRPr="00FB25BC" w:rsidRDefault="00FB25BC" w:rsidP="008B524B">
      <w:pPr>
        <w:pStyle w:val="BodyText"/>
        <w:ind w:left="1418" w:hanging="1418"/>
        <w:rPr>
          <w:b/>
        </w:rPr>
      </w:pPr>
      <w:r w:rsidRPr="00FB25BC">
        <w:rPr>
          <w:b/>
        </w:rPr>
        <w:fldChar w:fldCharType="begin"/>
      </w:r>
      <w:r w:rsidRPr="00FB25BC">
        <w:rPr>
          <w:b/>
        </w:rPr>
        <w:instrText xml:space="preserve"> REF _Ref61523016 \h  \* MERGEFORMAT </w:instrText>
      </w:r>
      <w:r w:rsidRPr="00FB25BC">
        <w:rPr>
          <w:b/>
        </w:rPr>
      </w:r>
      <w:r w:rsidRPr="00FB25BC">
        <w:rPr>
          <w:b/>
        </w:rPr>
        <w:fldChar w:fldCharType="separate"/>
      </w:r>
      <w:r w:rsidR="00F77168" w:rsidRPr="00F77168">
        <w:rPr>
          <w:b/>
        </w:rPr>
        <w:t xml:space="preserve">Proposal </w:t>
      </w:r>
      <w:r w:rsidR="00F77168" w:rsidRPr="00F77168">
        <w:rPr>
          <w:b/>
          <w:noProof/>
        </w:rPr>
        <w:t>2</w:t>
      </w:r>
      <w:r w:rsidR="00F77168" w:rsidRPr="00F77168">
        <w:rPr>
          <w:b/>
        </w:rPr>
        <w:tab/>
        <w:t>The spherical coverage requirement for n262 should be no more than 0.5 dB worse than requirement for n259.</w:t>
      </w:r>
      <w:r w:rsidRPr="00FB25BC">
        <w:rPr>
          <w:b/>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52F3A9E" w14:textId="04304DDD" w:rsidR="00A308A5" w:rsidRDefault="00A308A5" w:rsidP="00610D13">
      <w:pPr>
        <w:widowControl w:val="0"/>
        <w:numPr>
          <w:ilvl w:val="0"/>
          <w:numId w:val="29"/>
        </w:numPr>
        <w:tabs>
          <w:tab w:val="clear" w:pos="420"/>
          <w:tab w:val="left" w:pos="1701"/>
        </w:tabs>
      </w:pPr>
      <w:bookmarkStart w:id="5" w:name="_Ref4588121"/>
      <w:bookmarkStart w:id="6" w:name="_Ref484009661"/>
      <w:bookmarkStart w:id="7" w:name="_Ref447703865"/>
      <w:bookmarkStart w:id="8" w:name="_Ref455046197"/>
      <w:bookmarkStart w:id="9" w:name="_Ref473734040"/>
      <w:bookmarkStart w:id="10" w:name="_Ref481653652"/>
      <w:bookmarkStart w:id="11" w:name="_Ref447634836"/>
      <w:bookmarkStart w:id="12" w:name="_Ref447633816"/>
      <w:bookmarkStart w:id="13" w:name="_Ref536518839"/>
      <w:bookmarkStart w:id="14" w:name="_Ref528673925"/>
      <w:bookmarkStart w:id="15" w:name="_Ref525739026"/>
      <w:bookmarkStart w:id="16" w:name="_Ref513646437"/>
      <w:bookmarkStart w:id="17" w:name="_Ref508875069"/>
      <w:bookmarkStart w:id="18" w:name="_Ref508874720"/>
      <w:bookmarkStart w:id="19" w:name="_Ref6492287"/>
      <w:r w:rsidRPr="008B2A22">
        <w:t>RP-</w:t>
      </w:r>
      <w:r w:rsidR="000F0BBF">
        <w:t>201232</w:t>
      </w:r>
      <w:r>
        <w:t xml:space="preserve">, </w:t>
      </w:r>
      <w:r w:rsidR="00C42FFA">
        <w:tab/>
      </w:r>
      <w:r>
        <w:t>“</w:t>
      </w:r>
      <w:r w:rsidRPr="008B2A22">
        <w:t xml:space="preserve">New WID: introduction of </w:t>
      </w:r>
      <w:r w:rsidR="000F0BBF">
        <w:t>NR 47GHz band</w:t>
      </w:r>
      <w:r>
        <w:t>, RAN #8</w:t>
      </w:r>
      <w:r w:rsidR="000F0BBF">
        <w:t>8-e</w:t>
      </w:r>
      <w:r>
        <w:t xml:space="preserve">, </w:t>
      </w:r>
      <w:r w:rsidR="000F0BBF">
        <w:t>June</w:t>
      </w:r>
      <w:r>
        <w:t xml:space="preserve"> 20</w:t>
      </w:r>
      <w:bookmarkEnd w:id="5"/>
      <w:r w:rsidR="000F0BBF">
        <w:t>20</w:t>
      </w:r>
    </w:p>
    <w:p w14:paraId="62D8F9F6" w14:textId="6150E204" w:rsidR="00164028" w:rsidRDefault="00164028" w:rsidP="00164028">
      <w:pPr>
        <w:widowControl w:val="0"/>
        <w:numPr>
          <w:ilvl w:val="0"/>
          <w:numId w:val="29"/>
        </w:numPr>
        <w:tabs>
          <w:tab w:val="clear" w:pos="420"/>
          <w:tab w:val="left" w:pos="1701"/>
        </w:tabs>
      </w:pPr>
      <w:bookmarkStart w:id="20" w:name="_Ref61428567"/>
      <w:bookmarkStart w:id="21" w:name="_Ref54094232"/>
      <w:bookmarkStart w:id="22" w:name="_Ref19885546"/>
      <w:r w:rsidRPr="00164028">
        <w:t>RP-202204</w:t>
      </w:r>
      <w:r>
        <w:t>,</w:t>
      </w:r>
      <w:r>
        <w:tab/>
        <w:t>“</w:t>
      </w:r>
      <w:r w:rsidRPr="00164028">
        <w:t>Status Report to TSG</w:t>
      </w:r>
      <w:r>
        <w:t xml:space="preserve">”, </w:t>
      </w:r>
      <w:r w:rsidRPr="00164028">
        <w:rPr>
          <w:i/>
          <w:iCs/>
        </w:rPr>
        <w:t xml:space="preserve">Rapporteur </w:t>
      </w:r>
      <w:r w:rsidRPr="00D71CED">
        <w:rPr>
          <w:i/>
          <w:iCs/>
        </w:rPr>
        <w:t>(Nokia)</w:t>
      </w:r>
      <w:bookmarkEnd w:id="20"/>
    </w:p>
    <w:p w14:paraId="0AAB0478" w14:textId="34B2F0EB" w:rsidR="00236D1B" w:rsidRPr="00D71CED" w:rsidRDefault="00236D1B" w:rsidP="00236D1B">
      <w:pPr>
        <w:widowControl w:val="0"/>
        <w:numPr>
          <w:ilvl w:val="0"/>
          <w:numId w:val="29"/>
        </w:numPr>
        <w:tabs>
          <w:tab w:val="clear" w:pos="420"/>
          <w:tab w:val="left" w:pos="1701"/>
        </w:tabs>
      </w:pPr>
      <w:bookmarkStart w:id="23" w:name="_Ref61428616"/>
      <w:r w:rsidRPr="00D6746C">
        <w:t>R4-2011873</w:t>
      </w:r>
      <w:r>
        <w:t>,</w:t>
      </w:r>
      <w:r>
        <w:tab/>
        <w:t>“</w:t>
      </w:r>
      <w:r w:rsidRPr="00D6746C">
        <w:t>Email discussion summary for [96e][135] NR_47GHz_Band</w:t>
      </w:r>
      <w:r>
        <w:t xml:space="preserve">”, </w:t>
      </w:r>
      <w:bookmarkEnd w:id="21"/>
      <w:r w:rsidR="00D71CED" w:rsidRPr="00D71CED">
        <w:rPr>
          <w:i/>
          <w:iCs/>
        </w:rPr>
        <w:t>Moderator (Nokia)</w:t>
      </w:r>
      <w:bookmarkEnd w:id="23"/>
    </w:p>
    <w:p w14:paraId="4B4CF082" w14:textId="16A5274A" w:rsidR="00D71CED" w:rsidRPr="0005675E" w:rsidRDefault="00D71CED" w:rsidP="00236D1B">
      <w:pPr>
        <w:widowControl w:val="0"/>
        <w:numPr>
          <w:ilvl w:val="0"/>
          <w:numId w:val="29"/>
        </w:numPr>
        <w:tabs>
          <w:tab w:val="clear" w:pos="420"/>
          <w:tab w:val="left" w:pos="1701"/>
        </w:tabs>
      </w:pPr>
      <w:bookmarkStart w:id="24" w:name="_Ref61352725"/>
      <w:r w:rsidRPr="00D71CED">
        <w:t>R4-2016971</w:t>
      </w:r>
      <w:r>
        <w:t>,</w:t>
      </w:r>
      <w:r>
        <w:tab/>
        <w:t>“</w:t>
      </w:r>
      <w:r w:rsidRPr="00D71CED">
        <w:t>Email discussion summary for [97e][130] NR_47GHz_Band</w:t>
      </w:r>
      <w:r>
        <w:t xml:space="preserve">”, </w:t>
      </w:r>
      <w:r w:rsidRPr="00D71CED">
        <w:rPr>
          <w:i/>
          <w:iCs/>
        </w:rPr>
        <w:t>Moderator (Nokia)</w:t>
      </w:r>
      <w:bookmarkEnd w:id="24"/>
    </w:p>
    <w:p w14:paraId="58E1101B" w14:textId="3EBABE65" w:rsidR="0005675E" w:rsidRPr="006760B7" w:rsidRDefault="0005675E" w:rsidP="00236D1B">
      <w:pPr>
        <w:widowControl w:val="0"/>
        <w:numPr>
          <w:ilvl w:val="0"/>
          <w:numId w:val="29"/>
        </w:numPr>
        <w:tabs>
          <w:tab w:val="clear" w:pos="420"/>
          <w:tab w:val="left" w:pos="1701"/>
        </w:tabs>
      </w:pPr>
      <w:bookmarkStart w:id="25" w:name="_Ref61356293"/>
      <w:r w:rsidRPr="0005675E">
        <w:t>R4-2016879</w:t>
      </w:r>
      <w:r w:rsidR="006760B7">
        <w:t>,</w:t>
      </w:r>
      <w:r w:rsidRPr="0005675E">
        <w:t xml:space="preserve"> </w:t>
      </w:r>
      <w:r>
        <w:tab/>
        <w:t>“</w:t>
      </w:r>
      <w:r w:rsidRPr="0005675E">
        <w:t>WF on UE RF requirement of n262</w:t>
      </w:r>
      <w:r>
        <w:t xml:space="preserve">”, </w:t>
      </w:r>
      <w:r w:rsidR="006760B7">
        <w:rPr>
          <w:i/>
          <w:iCs/>
        </w:rPr>
        <w:t>Q</w:t>
      </w:r>
      <w:r w:rsidRPr="0005675E">
        <w:rPr>
          <w:i/>
          <w:iCs/>
        </w:rPr>
        <w:t>ualcomm, Nokia, Sony</w:t>
      </w:r>
      <w:bookmarkEnd w:id="25"/>
    </w:p>
    <w:p w14:paraId="15552BA6" w14:textId="48F5055B" w:rsidR="006760B7" w:rsidRPr="0026689B" w:rsidRDefault="006760B7" w:rsidP="00236D1B">
      <w:pPr>
        <w:widowControl w:val="0"/>
        <w:numPr>
          <w:ilvl w:val="0"/>
          <w:numId w:val="29"/>
        </w:numPr>
        <w:tabs>
          <w:tab w:val="clear" w:pos="420"/>
          <w:tab w:val="left" w:pos="1701"/>
        </w:tabs>
      </w:pPr>
      <w:bookmarkStart w:id="26" w:name="_Ref61356327"/>
      <w:r w:rsidRPr="006760B7">
        <w:t>R4-2016880</w:t>
      </w:r>
      <w:r>
        <w:t>,</w:t>
      </w:r>
      <w:r>
        <w:tab/>
        <w:t>“</w:t>
      </w:r>
      <w:r w:rsidRPr="006760B7">
        <w:t>WF on multi-band relaxation of n262</w:t>
      </w:r>
      <w:r>
        <w:t xml:space="preserve">”, </w:t>
      </w:r>
      <w:r w:rsidRPr="00D926A7">
        <w:rPr>
          <w:i/>
        </w:rPr>
        <w:t>Apple</w:t>
      </w:r>
      <w:bookmarkEnd w:id="26"/>
    </w:p>
    <w:p w14:paraId="5DA692CA" w14:textId="57AFF172" w:rsidR="00F555E2" w:rsidRDefault="00BD7D8D" w:rsidP="00F555E2">
      <w:pPr>
        <w:widowControl w:val="0"/>
        <w:numPr>
          <w:ilvl w:val="0"/>
          <w:numId w:val="29"/>
        </w:numPr>
        <w:tabs>
          <w:tab w:val="clear" w:pos="420"/>
          <w:tab w:val="left" w:pos="1701"/>
        </w:tabs>
      </w:pPr>
      <w:bookmarkStart w:id="27" w:name="_Ref61432276"/>
      <w:bookmarkStart w:id="28" w:name="_Ref61362363"/>
      <w:r w:rsidRPr="00BD7D8D">
        <w:lastRenderedPageBreak/>
        <w:t>R4-2100567</w:t>
      </w:r>
      <w:r w:rsidR="00F555E2">
        <w:t>,</w:t>
      </w:r>
      <w:r w:rsidR="00BE3F99">
        <w:tab/>
        <w:t>“</w:t>
      </w:r>
      <w:r w:rsidR="00BE3F99" w:rsidRPr="00F555E2">
        <w:t>Peak</w:t>
      </w:r>
      <w:r w:rsidR="00F555E2" w:rsidRPr="00F555E2">
        <w:t xml:space="preserve"> EIRP and EIRP spherical coverage for PC3 for n262</w:t>
      </w:r>
      <w:r w:rsidR="00F555E2">
        <w:t xml:space="preserve">”, </w:t>
      </w:r>
      <w:r w:rsidR="00F555E2" w:rsidRPr="001D7A24">
        <w:rPr>
          <w:i/>
          <w:iCs/>
        </w:rPr>
        <w:t>Sony, Ericsson</w:t>
      </w:r>
      <w:bookmarkEnd w:id="27"/>
    </w:p>
    <w:p w14:paraId="7F3EA468" w14:textId="77777777" w:rsidR="00BD7D8D" w:rsidRDefault="00BD7D8D" w:rsidP="00BD7D8D">
      <w:pPr>
        <w:widowControl w:val="0"/>
        <w:numPr>
          <w:ilvl w:val="0"/>
          <w:numId w:val="29"/>
        </w:numPr>
        <w:tabs>
          <w:tab w:val="clear" w:pos="420"/>
          <w:tab w:val="left" w:pos="1701"/>
        </w:tabs>
      </w:pPr>
      <w:bookmarkStart w:id="29" w:name="_Ref61436296"/>
      <w:bookmarkStart w:id="30" w:name="_Ref61524889"/>
      <w:bookmarkStart w:id="31" w:name="_Ref61445024"/>
      <w:r>
        <w:t>R4-2100568,</w:t>
      </w:r>
      <w:r>
        <w:tab/>
        <w:t xml:space="preserve">“Multiband relaxations for PC3 for n262”, </w:t>
      </w:r>
      <w:r>
        <w:rPr>
          <w:i/>
          <w:iCs/>
        </w:rPr>
        <w:t>Sony, Ericsson</w:t>
      </w:r>
      <w:bookmarkEnd w:id="31"/>
    </w:p>
    <w:p w14:paraId="166A37BC" w14:textId="3968C840" w:rsidR="00ED1BEA" w:rsidRPr="00FC1B6B" w:rsidRDefault="001D7A24" w:rsidP="001263AE">
      <w:pPr>
        <w:widowControl w:val="0"/>
        <w:numPr>
          <w:ilvl w:val="0"/>
          <w:numId w:val="29"/>
        </w:numPr>
        <w:tabs>
          <w:tab w:val="clear" w:pos="420"/>
          <w:tab w:val="left" w:pos="1701"/>
        </w:tabs>
      </w:pPr>
      <w:r w:rsidRPr="001D7A24">
        <w:t>R4-2015855</w:t>
      </w:r>
      <w:r>
        <w:t>,</w:t>
      </w:r>
      <w:r>
        <w:tab/>
        <w:t>“</w:t>
      </w:r>
      <w:r w:rsidRPr="001D7A24">
        <w:t>Link budget for PC3 for n262</w:t>
      </w:r>
      <w:r>
        <w:t xml:space="preserve">”, </w:t>
      </w:r>
      <w:r w:rsidRPr="001D7A24">
        <w:rPr>
          <w:i/>
          <w:iCs/>
        </w:rPr>
        <w:t>Sony, Ericsson</w:t>
      </w:r>
      <w:bookmarkEnd w:id="28"/>
      <w:bookmarkEnd w:id="22"/>
      <w:bookmarkEnd w:id="29"/>
      <w:bookmarkEnd w:id="30"/>
    </w:p>
    <w:p w14:paraId="5262D6DF" w14:textId="52967969" w:rsidR="00585A48" w:rsidRPr="00C230DF" w:rsidRDefault="00585A48" w:rsidP="00610D13">
      <w:pPr>
        <w:pStyle w:val="ListParagraph"/>
        <w:numPr>
          <w:ilvl w:val="0"/>
          <w:numId w:val="29"/>
        </w:numPr>
        <w:tabs>
          <w:tab w:val="clear" w:pos="420"/>
          <w:tab w:val="left" w:pos="1701"/>
        </w:tabs>
        <w:rPr>
          <w:rFonts w:eastAsia="SimSun"/>
        </w:rPr>
      </w:pPr>
      <w:bookmarkStart w:id="32" w:name="_Ref20153914"/>
      <w:r w:rsidRPr="00585A48">
        <w:rPr>
          <w:rFonts w:eastAsia="SimSun"/>
        </w:rPr>
        <w:t>R4-1815845</w:t>
      </w:r>
      <w:r>
        <w:rPr>
          <w:rFonts w:eastAsia="SimSun"/>
        </w:rPr>
        <w:t>,</w:t>
      </w:r>
      <w:r w:rsidR="00610D13">
        <w:rPr>
          <w:rFonts w:eastAsia="SimSun"/>
        </w:rPr>
        <w:tab/>
        <w:t>“</w:t>
      </w:r>
      <w:r w:rsidR="00610D13" w:rsidRPr="00610D13">
        <w:rPr>
          <w:rFonts w:eastAsia="SimSun"/>
        </w:rPr>
        <w:t>UE Spherical EIRP for th</w:t>
      </w:r>
      <w:bookmarkStart w:id="33" w:name="_GoBack"/>
      <w:bookmarkEnd w:id="33"/>
      <w:r w:rsidR="00610D13" w:rsidRPr="00610D13">
        <w:rPr>
          <w:rFonts w:eastAsia="SimSun"/>
        </w:rPr>
        <w:t>e 28GHz and 39GHz bands</w:t>
      </w:r>
      <w:r w:rsidR="00610D13">
        <w:rPr>
          <w:rFonts w:eastAsia="SimSun"/>
        </w:rPr>
        <w:t xml:space="preserve">”, </w:t>
      </w:r>
      <w:r w:rsidR="00610D13" w:rsidRPr="00C42FFA">
        <w:rPr>
          <w:i/>
        </w:rPr>
        <w:t>Sony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32"/>
    </w:p>
    <w:sectPr w:rsidR="00585A48" w:rsidRPr="00C230DF"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BDB9" w14:textId="77777777" w:rsidR="00EB4D5F" w:rsidRDefault="00EB4D5F">
      <w:r>
        <w:separator/>
      </w:r>
    </w:p>
  </w:endnote>
  <w:endnote w:type="continuationSeparator" w:id="0">
    <w:p w14:paraId="30455660" w14:textId="77777777" w:rsidR="00EB4D5F" w:rsidRDefault="00EB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52E81" w14:textId="77777777" w:rsidR="00EB4D5F" w:rsidRDefault="00EB4D5F">
      <w:r>
        <w:separator/>
      </w:r>
    </w:p>
  </w:footnote>
  <w:footnote w:type="continuationSeparator" w:id="0">
    <w:p w14:paraId="3E1CC75B" w14:textId="77777777" w:rsidR="00EB4D5F" w:rsidRDefault="00EB4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8"/>
  </w:num>
  <w:num w:numId="4">
    <w:abstractNumId w:val="9"/>
  </w:num>
  <w:num w:numId="5">
    <w:abstractNumId w:val="3"/>
  </w:num>
  <w:num w:numId="6">
    <w:abstractNumId w:val="15"/>
  </w:num>
  <w:num w:numId="7">
    <w:abstractNumId w:val="17"/>
  </w:num>
  <w:num w:numId="8">
    <w:abstractNumId w:val="1"/>
  </w:num>
  <w:num w:numId="9">
    <w:abstractNumId w:val="12"/>
  </w:num>
  <w:num w:numId="10">
    <w:abstractNumId w:val="13"/>
  </w:num>
  <w:num w:numId="11">
    <w:abstractNumId w:val="14"/>
  </w:num>
  <w:num w:numId="12">
    <w:abstractNumId w:val="4"/>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7"/>
  </w:num>
  <w:num w:numId="21">
    <w:abstractNumId w:val="1"/>
  </w:num>
  <w:num w:numId="22">
    <w:abstractNumId w:val="1"/>
  </w:num>
  <w:num w:numId="23">
    <w:abstractNumId w:val="2"/>
  </w:num>
  <w:num w:numId="24">
    <w:abstractNumId w:val="1"/>
  </w:num>
  <w:num w:numId="25">
    <w:abstractNumId w:val="15"/>
  </w:num>
  <w:num w:numId="26">
    <w:abstractNumId w:val="15"/>
  </w:num>
  <w:num w:numId="27">
    <w:abstractNumId w:val="15"/>
  </w:num>
  <w:num w:numId="28">
    <w:abstractNumId w:val="1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0"/>
  </w:num>
  <w:num w:numId="33">
    <w:abstractNumId w:val="5"/>
  </w:num>
  <w:num w:numId="34">
    <w:abstractNumId w:val="8"/>
  </w:num>
  <w:num w:numId="35">
    <w:abstractNumId w:val="1"/>
  </w:num>
  <w:num w:numId="3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rAUAgyTl/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186A"/>
    <w:rsid w:val="0004222A"/>
    <w:rsid w:val="000423D8"/>
    <w:rsid w:val="00043435"/>
    <w:rsid w:val="00043490"/>
    <w:rsid w:val="00043861"/>
    <w:rsid w:val="00044266"/>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75E"/>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701"/>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BBF"/>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3AE"/>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4028"/>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0DD"/>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B0241"/>
    <w:rsid w:val="001B04FA"/>
    <w:rsid w:val="001B0517"/>
    <w:rsid w:val="001B09A7"/>
    <w:rsid w:val="001B0BDA"/>
    <w:rsid w:val="001B1336"/>
    <w:rsid w:val="001B1729"/>
    <w:rsid w:val="001B17CD"/>
    <w:rsid w:val="001B1B97"/>
    <w:rsid w:val="001B2670"/>
    <w:rsid w:val="001B2815"/>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A43"/>
    <w:rsid w:val="001D6A8F"/>
    <w:rsid w:val="001D72B4"/>
    <w:rsid w:val="001D72D9"/>
    <w:rsid w:val="001D73FD"/>
    <w:rsid w:val="001D747D"/>
    <w:rsid w:val="001D7628"/>
    <w:rsid w:val="001D7A24"/>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6F27"/>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89B"/>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6F8"/>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768"/>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1C"/>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3C26"/>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56A"/>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0B7"/>
    <w:rsid w:val="006762F6"/>
    <w:rsid w:val="006766CB"/>
    <w:rsid w:val="006767A4"/>
    <w:rsid w:val="0067701A"/>
    <w:rsid w:val="0067756D"/>
    <w:rsid w:val="00677E7B"/>
    <w:rsid w:val="0068035D"/>
    <w:rsid w:val="0068065C"/>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8A"/>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BA"/>
    <w:rsid w:val="007154F8"/>
    <w:rsid w:val="00715657"/>
    <w:rsid w:val="00715F87"/>
    <w:rsid w:val="00716180"/>
    <w:rsid w:val="007169D0"/>
    <w:rsid w:val="00716FE6"/>
    <w:rsid w:val="00717C27"/>
    <w:rsid w:val="00717D7F"/>
    <w:rsid w:val="00717DD3"/>
    <w:rsid w:val="00717DD5"/>
    <w:rsid w:val="00717EA7"/>
    <w:rsid w:val="007201AD"/>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684"/>
    <w:rsid w:val="00754815"/>
    <w:rsid w:val="00754F56"/>
    <w:rsid w:val="00754F76"/>
    <w:rsid w:val="007551BB"/>
    <w:rsid w:val="00755266"/>
    <w:rsid w:val="0075587D"/>
    <w:rsid w:val="007559B1"/>
    <w:rsid w:val="00755D35"/>
    <w:rsid w:val="007563F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113"/>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24B"/>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A29"/>
    <w:rsid w:val="008C5E0A"/>
    <w:rsid w:val="008C681E"/>
    <w:rsid w:val="008C6CB3"/>
    <w:rsid w:val="008C7085"/>
    <w:rsid w:val="008C78B4"/>
    <w:rsid w:val="008C7B48"/>
    <w:rsid w:val="008D0344"/>
    <w:rsid w:val="008D0628"/>
    <w:rsid w:val="008D069B"/>
    <w:rsid w:val="008D06D7"/>
    <w:rsid w:val="008D0A37"/>
    <w:rsid w:val="008D0F7E"/>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5F33"/>
    <w:rsid w:val="009A6682"/>
    <w:rsid w:val="009A66B5"/>
    <w:rsid w:val="009A6ADB"/>
    <w:rsid w:val="009A6C6B"/>
    <w:rsid w:val="009A6D7F"/>
    <w:rsid w:val="009A718D"/>
    <w:rsid w:val="009A7DB5"/>
    <w:rsid w:val="009A7E8C"/>
    <w:rsid w:val="009B0001"/>
    <w:rsid w:val="009B063F"/>
    <w:rsid w:val="009B0AB4"/>
    <w:rsid w:val="009B1FC7"/>
    <w:rsid w:val="009B2466"/>
    <w:rsid w:val="009B2721"/>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4CD"/>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B4F"/>
    <w:rsid w:val="00AA1D10"/>
    <w:rsid w:val="00AA1E51"/>
    <w:rsid w:val="00AA1E6F"/>
    <w:rsid w:val="00AA267D"/>
    <w:rsid w:val="00AA2712"/>
    <w:rsid w:val="00AA28D9"/>
    <w:rsid w:val="00AA2A21"/>
    <w:rsid w:val="00AA2C9B"/>
    <w:rsid w:val="00AA2E5A"/>
    <w:rsid w:val="00AA36FE"/>
    <w:rsid w:val="00AA389D"/>
    <w:rsid w:val="00AA38A5"/>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61C"/>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5EB"/>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7B9"/>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87"/>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D7D8D"/>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3F99"/>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6DF2"/>
    <w:rsid w:val="00C372C5"/>
    <w:rsid w:val="00C37719"/>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B48"/>
    <w:rsid w:val="00C62E03"/>
    <w:rsid w:val="00C630F5"/>
    <w:rsid w:val="00C63337"/>
    <w:rsid w:val="00C6381C"/>
    <w:rsid w:val="00C63A80"/>
    <w:rsid w:val="00C6403E"/>
    <w:rsid w:val="00C640F5"/>
    <w:rsid w:val="00C641FD"/>
    <w:rsid w:val="00C642B3"/>
    <w:rsid w:val="00C6482B"/>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1FB5"/>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CED"/>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5E2"/>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77168"/>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EC8"/>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5BC"/>
    <w:rsid w:val="00FB2900"/>
    <w:rsid w:val="00FB2AC2"/>
    <w:rsid w:val="00FB2E0A"/>
    <w:rsid w:val="00FB3B01"/>
    <w:rsid w:val="00FB4113"/>
    <w:rsid w:val="00FB4294"/>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1936822">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57245269">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6312544">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68198728">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1FE66-B1F7-4A4E-A041-29013A422E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82CECF-9109-4124-9FAA-98DC207B3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4.xml><?xml version="1.0" encoding="utf-8"?>
<ds:datastoreItem xmlns:ds="http://schemas.openxmlformats.org/officeDocument/2006/customXml" ds:itemID="{8317D27D-80B6-4643-AD37-D23F91644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855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2021-01-15T09:14:00Z</dcterms:created>
  <dcterms:modified xsi:type="dcterms:W3CDTF">2021-01-15T09:30:00Z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